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</w:t>
      </w:r>
      <w:r w:rsidR="00936B99">
        <w:rPr>
          <w:spacing w:val="-4"/>
          <w:sz w:val="22"/>
          <w:szCs w:val="22"/>
        </w:rPr>
        <w:t>6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936B99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936B99">
        <w:rPr>
          <w:sz w:val="22"/>
          <w:szCs w:val="22"/>
        </w:rPr>
        <w:t xml:space="preserve">Финансовый управляющий должника </w:t>
      </w:r>
      <w:proofErr w:type="spellStart"/>
      <w:r w:rsidR="00481254" w:rsidRPr="00481254">
        <w:rPr>
          <w:sz w:val="22"/>
          <w:szCs w:val="22"/>
        </w:rPr>
        <w:t>Крайновой</w:t>
      </w:r>
      <w:proofErr w:type="spellEnd"/>
      <w:r w:rsidR="00481254" w:rsidRPr="00481254">
        <w:rPr>
          <w:sz w:val="22"/>
          <w:szCs w:val="22"/>
        </w:rPr>
        <w:t xml:space="preserve"> Людмилы Валериевны</w:t>
      </w:r>
      <w:r w:rsidRPr="00936B99">
        <w:rPr>
          <w:sz w:val="22"/>
          <w:szCs w:val="22"/>
        </w:rPr>
        <w:t xml:space="preserve">– Быков Илья Евгеньевич, действующий на основании решения Арбитражного суда Московской области </w:t>
      </w:r>
      <w:proofErr w:type="gramStart"/>
      <w:r w:rsidRPr="00936B99">
        <w:rPr>
          <w:sz w:val="22"/>
          <w:szCs w:val="22"/>
        </w:rPr>
        <w:t xml:space="preserve">от </w:t>
      </w:r>
      <w:r w:rsidR="00481254" w:rsidRPr="00481254">
        <w:rPr>
          <w:sz w:val="22"/>
          <w:szCs w:val="22"/>
        </w:rPr>
        <w:t xml:space="preserve"> 21.11.2024</w:t>
      </w:r>
      <w:proofErr w:type="gramEnd"/>
      <w:r w:rsidR="00481254" w:rsidRPr="00481254">
        <w:rPr>
          <w:sz w:val="22"/>
          <w:szCs w:val="22"/>
        </w:rPr>
        <w:t xml:space="preserve"> г. </w:t>
      </w:r>
      <w:r w:rsidRPr="00936B99">
        <w:rPr>
          <w:sz w:val="22"/>
          <w:szCs w:val="22"/>
        </w:rPr>
        <w:t xml:space="preserve">г. по делу № </w:t>
      </w:r>
      <w:r w:rsidR="00481254" w:rsidRPr="00481254">
        <w:rPr>
          <w:sz w:val="22"/>
          <w:szCs w:val="22"/>
        </w:rPr>
        <w:t>А41-65845/2024</w:t>
      </w:r>
      <w:r w:rsidRPr="00936B99">
        <w:rPr>
          <w:sz w:val="22"/>
          <w:szCs w:val="22"/>
        </w:rPr>
        <w:t xml:space="preserve">, именуемый в дальнейшем </w:t>
      </w:r>
      <w:r w:rsidR="0069429D" w:rsidRPr="00AE3233">
        <w:rPr>
          <w:sz w:val="22"/>
          <w:szCs w:val="22"/>
        </w:rPr>
        <w:t>Организатор торгов,</w:t>
      </w:r>
      <w:r w:rsidR="0069429D" w:rsidRPr="00AE3233">
        <w:rPr>
          <w:spacing w:val="40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 одной стороны, и</w:t>
      </w:r>
      <w:r w:rsidR="0069429D" w:rsidRPr="00AE3233">
        <w:rPr>
          <w:spacing w:val="74"/>
          <w:sz w:val="22"/>
          <w:szCs w:val="22"/>
        </w:rPr>
        <w:t xml:space="preserve"> </w:t>
      </w:r>
      <w:r w:rsidR="0069429D" w:rsidRPr="00AE3233">
        <w:rPr>
          <w:sz w:val="22"/>
          <w:szCs w:val="22"/>
          <w:u w:val="single"/>
        </w:rPr>
        <w:tab/>
      </w:r>
      <w:r w:rsidR="0069429D" w:rsidRPr="00AE3233">
        <w:rPr>
          <w:sz w:val="22"/>
          <w:szCs w:val="22"/>
        </w:rPr>
        <w:t>,</w:t>
      </w:r>
      <w:r w:rsidR="00AE3233">
        <w:rPr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именуемый в дальнейшем Претендент, с</w:t>
      </w:r>
      <w:r w:rsidR="0069429D" w:rsidRPr="00AE3233">
        <w:rPr>
          <w:spacing w:val="-17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другой 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вместе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именуемые</w:t>
      </w:r>
      <w:r w:rsidR="0069429D" w:rsidRPr="00AE3233">
        <w:rPr>
          <w:spacing w:val="-13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заключили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настоящий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договор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о</w:t>
      </w:r>
      <w:r w:rsidR="0069429D" w:rsidRPr="00AE3233">
        <w:rPr>
          <w:spacing w:val="-11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AE3233">
        <w:t>Претендент</w:t>
      </w:r>
      <w:r w:rsidRPr="00AE3233">
        <w:rPr>
          <w:spacing w:val="40"/>
        </w:rPr>
        <w:t xml:space="preserve"> </w:t>
      </w:r>
      <w:r w:rsidRPr="00AE3233">
        <w:t>обязуется</w:t>
      </w:r>
      <w:r w:rsidRPr="00AE3233">
        <w:rPr>
          <w:spacing w:val="40"/>
        </w:rPr>
        <w:t xml:space="preserve"> </w:t>
      </w:r>
      <w:r w:rsidRPr="00AE3233">
        <w:t>перечислить</w:t>
      </w:r>
      <w:r w:rsidRPr="00AE3233">
        <w:rPr>
          <w:spacing w:val="40"/>
        </w:rPr>
        <w:t xml:space="preserve"> </w:t>
      </w:r>
      <w:r w:rsidRPr="00AE3233">
        <w:t>задаток</w:t>
      </w:r>
      <w:r w:rsidRPr="00AE3233">
        <w:rPr>
          <w:spacing w:val="40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>размере</w:t>
      </w:r>
      <w:r w:rsidRPr="00AE3233">
        <w:rPr>
          <w:spacing w:val="50"/>
        </w:rPr>
        <w:t xml:space="preserve"> </w:t>
      </w:r>
      <w:r w:rsidRPr="00AE3233">
        <w:t xml:space="preserve"> </w:t>
      </w:r>
      <w:r w:rsidR="00481254">
        <w:t>324 800</w:t>
      </w:r>
      <w:r w:rsidRPr="00AE3233">
        <w:t xml:space="preserve"> (</w:t>
      </w:r>
      <w:r w:rsidR="00481254">
        <w:t>Триста двадцать четыре тысячи восемьсот</w:t>
      </w:r>
      <w:r w:rsidR="00733D67" w:rsidRPr="00AE3233">
        <w:t>)</w:t>
      </w:r>
      <w:r w:rsidRPr="00AE3233">
        <w:t xml:space="preserve"> </w:t>
      </w:r>
      <w:r w:rsidR="00936B99">
        <w:t xml:space="preserve">рублей 00 копеек </w:t>
      </w:r>
      <w:r w:rsidRPr="00AE3233">
        <w:t>от</w:t>
      </w:r>
      <w:r w:rsidRPr="00AE3233">
        <w:rPr>
          <w:spacing w:val="-1"/>
        </w:rPr>
        <w:t xml:space="preserve"> </w:t>
      </w:r>
      <w:r w:rsidR="00733D67" w:rsidRPr="00AE3233">
        <w:t>начальной цены иму</w:t>
      </w:r>
      <w:r w:rsidR="00481254">
        <w:t>щ</w:t>
      </w:r>
      <w:r w:rsidR="00733D67" w:rsidRPr="00AE3233">
        <w:t>ества</w:t>
      </w:r>
      <w:r w:rsidR="00D26492" w:rsidRPr="00AE3233">
        <w:t xml:space="preserve">, </w:t>
      </w:r>
      <w:r w:rsidRPr="00AE3233">
        <w:t>указанной в публикации о проведении 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733D67" w:rsidRPr="00AE3233">
        <w:t>открытого аукциона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Людмилы Валериевны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</w:t>
      </w:r>
      <w:r w:rsidR="00481254" w:rsidRPr="00481254">
        <w:t>Положение</w:t>
      </w:r>
      <w:r w:rsidR="00481254">
        <w:t>м</w:t>
      </w:r>
      <w:r w:rsidR="00481254" w:rsidRPr="00481254">
        <w:t xml:space="preserve"> о порядке организации и проведения торгов по реализации заложенного имущества, принадлежащего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Людмиле Валериевне, являющегося предметом залога ПАО "Сбербанк"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481254">
      <w:pPr>
        <w:pStyle w:val="a4"/>
        <w:numPr>
          <w:ilvl w:val="2"/>
          <w:numId w:val="1"/>
        </w:numPr>
        <w:spacing w:before="4"/>
        <w:ind w:left="284" w:right="172" w:hanging="142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r w:rsidR="00481254" w:rsidRPr="00481254">
        <w:t>40817810050222277398</w:t>
      </w:r>
      <w:r w:rsidR="00936B99">
        <w:t>,</w:t>
      </w:r>
      <w:bookmarkStart w:id="0" w:name="_GoBack"/>
      <w:bookmarkEnd w:id="0"/>
      <w:r w:rsidRPr="00AE3233">
        <w:t xml:space="preserve"> наименование</w:t>
      </w:r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</w:t>
      </w:r>
      <w:r w:rsidR="00481254">
        <w:t>.</w:t>
      </w:r>
      <w:r w:rsidR="00481254" w:rsidRPr="00481254">
        <w:t>В</w:t>
      </w:r>
      <w:r w:rsidR="00481254">
        <w:t>.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481254">
      <w:pPr>
        <w:pStyle w:val="a4"/>
        <w:numPr>
          <w:ilvl w:val="2"/>
          <w:numId w:val="1"/>
        </w:numPr>
        <w:tabs>
          <w:tab w:val="left" w:pos="709"/>
        </w:tabs>
        <w:spacing w:before="1"/>
        <w:ind w:left="142" w:right="62" w:firstLine="0"/>
      </w:pPr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936B99">
        <w:t>Московской области.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481254" w:rsidTr="00936B99">
        <w:trPr>
          <w:trHeight w:val="5013"/>
        </w:trPr>
        <w:tc>
          <w:tcPr>
            <w:tcW w:w="5133" w:type="dxa"/>
          </w:tcPr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9"/>
              </w:rPr>
              <w:t>ОРГАНИЗАТОР</w:t>
            </w:r>
            <w:r w:rsidRPr="00481254">
              <w:rPr>
                <w:spacing w:val="-4"/>
              </w:rPr>
              <w:t xml:space="preserve"> </w:t>
            </w:r>
            <w:r w:rsidRPr="00481254">
              <w:rPr>
                <w:spacing w:val="-2"/>
              </w:rPr>
              <w:t>ТОРГОВ: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8"/>
              </w:rPr>
              <w:t>Быков</w:t>
            </w:r>
            <w:r w:rsidRPr="00481254">
              <w:rPr>
                <w:spacing w:val="-20"/>
              </w:rPr>
              <w:t xml:space="preserve"> </w:t>
            </w:r>
            <w:r w:rsidRPr="00481254">
              <w:rPr>
                <w:spacing w:val="-8"/>
              </w:rPr>
              <w:t>Илья</w:t>
            </w:r>
            <w:r w:rsidRPr="00481254">
              <w:rPr>
                <w:spacing w:val="-9"/>
              </w:rPr>
              <w:t xml:space="preserve"> </w:t>
            </w:r>
            <w:r w:rsidRPr="00481254">
              <w:rPr>
                <w:spacing w:val="-8"/>
              </w:rPr>
              <w:t>Евгеньевич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4"/>
              </w:rPr>
              <w:t>ИНН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2"/>
              </w:rPr>
              <w:t>332890925304</w:t>
            </w:r>
          </w:p>
          <w:p w:rsidR="00733D67" w:rsidRPr="00481254" w:rsidRDefault="00936B99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 w:rsidRPr="00481254">
              <w:rPr>
                <w:spacing w:val="-2"/>
              </w:rPr>
              <w:t xml:space="preserve">Счет </w:t>
            </w:r>
            <w:r w:rsidR="00481254" w:rsidRPr="00481254">
              <w:rPr>
                <w:spacing w:val="-2"/>
              </w:rPr>
              <w:t>40817810050222277398</w:t>
            </w:r>
            <w:r w:rsidR="00733D67" w:rsidRPr="00481254">
              <w:rPr>
                <w:spacing w:val="-2"/>
              </w:rPr>
              <w:t xml:space="preserve"> 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rPr>
                <w:spacing w:val="-4"/>
              </w:rPr>
              <w:t>Банк:</w:t>
            </w:r>
            <w:r w:rsidRPr="00481254">
              <w:rPr>
                <w:spacing w:val="-9"/>
              </w:rPr>
              <w:t xml:space="preserve"> </w:t>
            </w:r>
            <w:r w:rsidRPr="00481254">
              <w:rPr>
                <w:spacing w:val="-4"/>
              </w:rPr>
              <w:t>Филиал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«Центральный</w:t>
            </w:r>
            <w:r w:rsidRPr="00481254">
              <w:rPr>
                <w:spacing w:val="-6"/>
              </w:rPr>
              <w:t xml:space="preserve"> </w:t>
            </w:r>
            <w:r w:rsidRPr="00481254">
              <w:rPr>
                <w:spacing w:val="-5"/>
              </w:rPr>
              <w:t>ПАО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5"/>
              </w:rPr>
              <w:t>«</w:t>
            </w:r>
            <w:proofErr w:type="spellStart"/>
            <w:r w:rsidRPr="00481254">
              <w:rPr>
                <w:spacing w:val="-5"/>
              </w:rPr>
              <w:t>Совкомбанк</w:t>
            </w:r>
            <w:proofErr w:type="spellEnd"/>
            <w:r w:rsidRPr="00481254">
              <w:rPr>
                <w:spacing w:val="-5"/>
              </w:rPr>
              <w:t>»</w:t>
            </w:r>
            <w:r w:rsidRPr="00481254">
              <w:rPr>
                <w:spacing w:val="2"/>
              </w:rPr>
              <w:t xml:space="preserve"> </w:t>
            </w:r>
            <w:r w:rsidRPr="00481254">
              <w:rPr>
                <w:spacing w:val="-2"/>
              </w:rPr>
              <w:t>(Бердск);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t>к/с:</w:t>
            </w:r>
            <w:r w:rsidRPr="00481254">
              <w:rPr>
                <w:spacing w:val="-14"/>
              </w:rPr>
              <w:t xml:space="preserve"> </w:t>
            </w:r>
            <w:r w:rsidRPr="00481254">
              <w:rPr>
                <w:spacing w:val="-2"/>
              </w:rPr>
              <w:t>30101810150040000763;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t>БИК</w:t>
            </w:r>
            <w:r w:rsidRPr="00481254">
              <w:rPr>
                <w:spacing w:val="-16"/>
              </w:rPr>
              <w:t xml:space="preserve"> </w:t>
            </w:r>
            <w:r w:rsidRPr="00481254">
              <w:rPr>
                <w:spacing w:val="-2"/>
              </w:rPr>
              <w:t>045004763;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4"/>
              </w:rPr>
              <w:t>ИНН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БАНКА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4"/>
              </w:rPr>
              <w:t>4401116480;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rPr>
                <w:spacing w:val="-4"/>
              </w:rPr>
              <w:t>КПП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БАНКА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4"/>
              </w:rPr>
              <w:t>544543001</w:t>
            </w:r>
          </w:p>
          <w:p w:rsidR="00481254" w:rsidRPr="00481254" w:rsidRDefault="003B7751" w:rsidP="00481254">
            <w:pPr>
              <w:pStyle w:val="TableParagraph"/>
            </w:pPr>
            <w:r w:rsidRPr="00481254">
              <w:t>Получатель</w:t>
            </w:r>
            <w:r w:rsidR="00733D67" w:rsidRPr="00481254">
              <w:t xml:space="preserve">                                                                                 </w:t>
            </w:r>
            <w:r w:rsidR="00481254" w:rsidRPr="00481254">
              <w:t>Быков Илья Евгеньевич</w:t>
            </w:r>
          </w:p>
          <w:p w:rsidR="00936B99" w:rsidRPr="00481254" w:rsidRDefault="00481254" w:rsidP="00481254">
            <w:pPr>
              <w:pStyle w:val="TableParagraph"/>
              <w:tabs>
                <w:tab w:val="left" w:pos="616"/>
                <w:tab w:val="left" w:pos="1077"/>
              </w:tabs>
            </w:pPr>
            <w:r w:rsidRPr="00481254">
              <w:t>ИНН 332890925304</w:t>
            </w:r>
          </w:p>
          <w:p w:rsidR="00481254" w:rsidRPr="00481254" w:rsidRDefault="00481254" w:rsidP="00481254">
            <w:pPr>
              <w:pStyle w:val="TableParagraph"/>
              <w:tabs>
                <w:tab w:val="left" w:pos="616"/>
                <w:tab w:val="left" w:pos="1077"/>
              </w:tabs>
              <w:rPr>
                <w:u w:val="single"/>
              </w:rPr>
            </w:pPr>
          </w:p>
          <w:p w:rsidR="00936B99" w:rsidRPr="00481254" w:rsidRDefault="00936B99" w:rsidP="00936B99">
            <w:pPr>
              <w:pStyle w:val="TableParagraph"/>
              <w:tabs>
                <w:tab w:val="left" w:pos="616"/>
                <w:tab w:val="left" w:pos="1077"/>
              </w:tabs>
              <w:rPr>
                <w:u w:val="single"/>
              </w:rPr>
            </w:pPr>
          </w:p>
          <w:p w:rsidR="00E57BA2" w:rsidRPr="00481254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</w:pP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  <w:u w:val="single"/>
              </w:rPr>
              <w:t>/</w:t>
            </w:r>
            <w:r w:rsidR="00936B99" w:rsidRPr="00481254">
              <w:rPr>
                <w:spacing w:val="-10"/>
                <w:u w:val="single"/>
              </w:rPr>
              <w:t xml:space="preserve">   Быков И.Е.</w:t>
            </w:r>
            <w:r w:rsidRPr="00481254">
              <w:rPr>
                <w:u w:val="single"/>
              </w:rPr>
              <w:tab/>
            </w:r>
            <w:r w:rsidRPr="00481254">
              <w:rPr>
                <w:spacing w:val="-12"/>
              </w:rPr>
              <w:t>/</w:t>
            </w:r>
          </w:p>
        </w:tc>
        <w:tc>
          <w:tcPr>
            <w:tcW w:w="4613" w:type="dxa"/>
          </w:tcPr>
          <w:p w:rsidR="00E57BA2" w:rsidRPr="00481254" w:rsidRDefault="0069429D" w:rsidP="00AE3233">
            <w:pPr>
              <w:pStyle w:val="TableParagraph"/>
              <w:ind w:left="1328"/>
            </w:pPr>
            <w:r w:rsidRPr="00481254">
              <w:rPr>
                <w:spacing w:val="-2"/>
              </w:rPr>
              <w:t>ПРЕТЕНДЕНТ:</w:t>
            </w: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481254" w:rsidRDefault="00481254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u w:val="single"/>
              </w:rPr>
            </w:pPr>
          </w:p>
          <w:p w:rsidR="00E57BA2" w:rsidRPr="00481254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</w:pP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  <w:u w:val="single"/>
              </w:rPr>
              <w:t>/</w:t>
            </w: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2"/>
    <w:rsid w:val="00274227"/>
    <w:rsid w:val="003B7751"/>
    <w:rsid w:val="00481254"/>
    <w:rsid w:val="0069429D"/>
    <w:rsid w:val="00733D67"/>
    <w:rsid w:val="00936B99"/>
    <w:rsid w:val="00AE3233"/>
    <w:rsid w:val="00D26492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266F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2026-02-18T20:05:00Z</dcterms:created>
  <dcterms:modified xsi:type="dcterms:W3CDTF">2026-02-18T20:05:00Z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